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6" w:rsidRPr="00D93946" w:rsidRDefault="00D93946" w:rsidP="00D93946">
      <w:pPr>
        <w:spacing w:after="0" w:line="240" w:lineRule="auto"/>
        <w:ind w:firstLine="567"/>
        <w:jc w:val="center"/>
        <w:rPr>
          <w:sz w:val="26"/>
          <w:szCs w:val="26"/>
        </w:rPr>
      </w:pPr>
      <w:r w:rsidRPr="00D93946">
        <w:rPr>
          <w:sz w:val="26"/>
          <w:szCs w:val="26"/>
        </w:rPr>
        <w:t>КУ "Центр обработки вызовов и мониторинга систем обеспечения</w:t>
      </w:r>
    </w:p>
    <w:p w:rsidR="00D93946" w:rsidRPr="00D93946" w:rsidRDefault="00D93946" w:rsidP="00D93946">
      <w:pPr>
        <w:spacing w:after="0" w:line="240" w:lineRule="auto"/>
        <w:ind w:firstLine="567"/>
        <w:jc w:val="center"/>
        <w:rPr>
          <w:sz w:val="26"/>
          <w:szCs w:val="26"/>
        </w:rPr>
      </w:pPr>
      <w:r w:rsidRPr="00D93946">
        <w:rPr>
          <w:sz w:val="26"/>
          <w:szCs w:val="26"/>
        </w:rPr>
        <w:t>безопасности жизнедеятельности"</w:t>
      </w:r>
    </w:p>
    <w:p w:rsidR="00D93946" w:rsidRPr="00D93946" w:rsidRDefault="00D93946" w:rsidP="00D93946">
      <w:pPr>
        <w:spacing w:after="0" w:line="240" w:lineRule="auto"/>
        <w:ind w:firstLine="567"/>
        <w:jc w:val="center"/>
        <w:rPr>
          <w:sz w:val="26"/>
          <w:szCs w:val="26"/>
        </w:rPr>
      </w:pPr>
      <w:r w:rsidRPr="00D93946">
        <w:rPr>
          <w:sz w:val="26"/>
          <w:szCs w:val="26"/>
        </w:rPr>
        <w:t>Территориальный центр анализа и прогноза угроз безопасности</w:t>
      </w:r>
    </w:p>
    <w:p w:rsidR="00C01B27" w:rsidRPr="00D93946" w:rsidRDefault="00C01B27" w:rsidP="00A446B2">
      <w:pPr>
        <w:spacing w:after="0" w:line="240" w:lineRule="auto"/>
        <w:ind w:firstLine="567"/>
        <w:jc w:val="center"/>
        <w:rPr>
          <w:b/>
          <w:color w:val="C00000"/>
        </w:rPr>
      </w:pPr>
    </w:p>
    <w:p w:rsidR="00A446B2" w:rsidRPr="00D93946" w:rsidRDefault="00401E97" w:rsidP="00A446B2">
      <w:pPr>
        <w:spacing w:after="0" w:line="240" w:lineRule="auto"/>
        <w:ind w:firstLine="567"/>
        <w:jc w:val="center"/>
        <w:rPr>
          <w:b/>
          <w:color w:val="C00000"/>
        </w:rPr>
      </w:pPr>
      <w:r w:rsidRPr="00D93946">
        <w:rPr>
          <w:b/>
          <w:color w:val="C00000"/>
        </w:rPr>
        <w:t>Предварительный п</w:t>
      </w:r>
      <w:r w:rsidR="00A446B2" w:rsidRPr="00D93946">
        <w:rPr>
          <w:b/>
          <w:color w:val="C00000"/>
        </w:rPr>
        <w:t>рогноз при</w:t>
      </w:r>
      <w:r w:rsidR="00FB0A93" w:rsidRPr="00D93946">
        <w:rPr>
          <w:b/>
          <w:color w:val="C00000"/>
        </w:rPr>
        <w:t>родной пожарной опасности на 20</w:t>
      </w:r>
      <w:r w:rsidR="00D93946" w:rsidRPr="00D93946">
        <w:rPr>
          <w:b/>
          <w:color w:val="C00000"/>
        </w:rPr>
        <w:t>20</w:t>
      </w:r>
      <w:r w:rsidR="00A446B2" w:rsidRPr="00D93946">
        <w:rPr>
          <w:b/>
          <w:color w:val="C00000"/>
        </w:rPr>
        <w:t xml:space="preserve"> г.</w:t>
      </w:r>
    </w:p>
    <w:p w:rsidR="00F70E9A" w:rsidRPr="00D93946" w:rsidRDefault="00F70E9A" w:rsidP="00A446B2">
      <w:pPr>
        <w:spacing w:after="0" w:line="240" w:lineRule="auto"/>
        <w:ind w:firstLine="567"/>
        <w:jc w:val="center"/>
        <w:rPr>
          <w:b/>
          <w:color w:val="C00000"/>
        </w:rPr>
      </w:pPr>
    </w:p>
    <w:p w:rsidR="00A84C76" w:rsidRPr="00D93946" w:rsidRDefault="005A079E" w:rsidP="0051651A">
      <w:pPr>
        <w:spacing w:line="240" w:lineRule="auto"/>
        <w:ind w:firstLine="567"/>
        <w:jc w:val="both"/>
      </w:pPr>
      <w:r w:rsidRPr="00D93946">
        <w:t xml:space="preserve">Пожароопасный сезон на территории округа обычно продолжается </w:t>
      </w:r>
      <w:r w:rsidR="0069198E" w:rsidRPr="00D93946">
        <w:t>с начала мая (средняя дата за 25</w:t>
      </w:r>
      <w:r w:rsidRPr="00D93946">
        <w:t>-летний период – 6 мая, наиболее ранняя – 13 апреля 1995 г.) до конца сентября (средняя дата – 14 сентября, наиболее поздняя – 16 октября 2003 г.). Средняя продолжительность сезона составляет 133 дня, наибольшая – 164 дня (</w:t>
      </w:r>
      <w:r w:rsidR="0051651A" w:rsidRPr="00D93946">
        <w:t xml:space="preserve">наблюдалась в </w:t>
      </w:r>
      <w:r w:rsidRPr="00D93946">
        <w:t>2011 г.). Основной, пик приходится обычно на июль месяц</w:t>
      </w:r>
      <w:r w:rsidR="00A84C76" w:rsidRPr="00D93946">
        <w:t xml:space="preserve">. На рисунке 1 представлено </w:t>
      </w:r>
      <w:r w:rsidRPr="00D93946">
        <w:t xml:space="preserve"> </w:t>
      </w:r>
      <w:r w:rsidR="00A84C76" w:rsidRPr="00D93946">
        <w:t>среднее и максимальное количество пожаров по месяцам, а также год, в котором  наблюдалось максимальное количество пожаров в том или ином  месяце.</w:t>
      </w:r>
    </w:p>
    <w:p w:rsidR="005A079E" w:rsidRPr="00D93946" w:rsidRDefault="00A84C76" w:rsidP="005A079E">
      <w:pPr>
        <w:ind w:firstLine="567"/>
        <w:jc w:val="both"/>
      </w:pPr>
      <w:r w:rsidRPr="00D93946">
        <w:rPr>
          <w:noProof/>
          <w:lang w:eastAsia="ru-RU"/>
        </w:rPr>
        <w:drawing>
          <wp:inline distT="0" distB="0" distL="0" distR="0">
            <wp:extent cx="6155760" cy="2698045"/>
            <wp:effectExtent l="19050" t="0" r="16440" b="70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079E" w:rsidRPr="00D93946" w:rsidRDefault="005A079E" w:rsidP="005A079E">
      <w:pPr>
        <w:pStyle w:val="Default"/>
        <w:jc w:val="center"/>
        <w:rPr>
          <w:szCs w:val="22"/>
        </w:rPr>
      </w:pPr>
      <w:r w:rsidRPr="00D93946">
        <w:rPr>
          <w:sz w:val="22"/>
          <w:szCs w:val="22"/>
        </w:rPr>
        <w:t>Рис.1. Среднее</w:t>
      </w:r>
      <w:r w:rsidR="0051651A" w:rsidRPr="00D93946">
        <w:rPr>
          <w:sz w:val="22"/>
          <w:szCs w:val="22"/>
        </w:rPr>
        <w:t xml:space="preserve"> и</w:t>
      </w:r>
      <w:r w:rsidRPr="00D93946">
        <w:rPr>
          <w:sz w:val="22"/>
          <w:szCs w:val="22"/>
        </w:rPr>
        <w:t xml:space="preserve"> максимальное (год) месячное количество лесных пожаров на территор</w:t>
      </w:r>
      <w:r w:rsidR="00535FA7" w:rsidRPr="00D93946">
        <w:rPr>
          <w:sz w:val="22"/>
          <w:szCs w:val="22"/>
        </w:rPr>
        <w:t xml:space="preserve">ии </w:t>
      </w:r>
      <w:proofErr w:type="spellStart"/>
      <w:r w:rsidR="00535FA7" w:rsidRPr="00D93946">
        <w:rPr>
          <w:sz w:val="22"/>
          <w:szCs w:val="22"/>
        </w:rPr>
        <w:t>ХМАО-Югры</w:t>
      </w:r>
      <w:proofErr w:type="spellEnd"/>
      <w:r w:rsidR="00535FA7" w:rsidRPr="00D93946">
        <w:rPr>
          <w:sz w:val="22"/>
          <w:szCs w:val="22"/>
        </w:rPr>
        <w:t xml:space="preserve"> за период 1993-201</w:t>
      </w:r>
      <w:r w:rsidR="00D93946" w:rsidRPr="00D93946">
        <w:rPr>
          <w:sz w:val="22"/>
          <w:szCs w:val="22"/>
        </w:rPr>
        <w:t>9</w:t>
      </w:r>
      <w:r w:rsidRPr="00D93946">
        <w:rPr>
          <w:sz w:val="22"/>
          <w:szCs w:val="22"/>
        </w:rPr>
        <w:t xml:space="preserve"> гг.</w:t>
      </w:r>
    </w:p>
    <w:p w:rsidR="005A079E" w:rsidRPr="00D93946" w:rsidRDefault="005A079E" w:rsidP="005A079E">
      <w:pPr>
        <w:pStyle w:val="Default"/>
        <w:jc w:val="center"/>
        <w:rPr>
          <w:sz w:val="22"/>
          <w:szCs w:val="22"/>
        </w:rPr>
      </w:pPr>
    </w:p>
    <w:p w:rsidR="005A079E" w:rsidRPr="00D93946" w:rsidRDefault="005A079E" w:rsidP="0051651A">
      <w:pPr>
        <w:spacing w:after="0" w:line="240" w:lineRule="auto"/>
        <w:ind w:firstLine="567"/>
        <w:jc w:val="both"/>
      </w:pPr>
      <w:r w:rsidRPr="00D93946">
        <w:t xml:space="preserve">В мае </w:t>
      </w:r>
      <w:proofErr w:type="spellStart"/>
      <w:r w:rsidRPr="00D93946">
        <w:t>лесопожарную</w:t>
      </w:r>
      <w:proofErr w:type="spellEnd"/>
      <w:r w:rsidRPr="00D93946">
        <w:t xml:space="preserve"> опасность увеличивают палы травы в пойме рек, создающие риск перехода огня на лесной массив. Наибольшая вероятность возникновения таких пожаров существует в </w:t>
      </w:r>
      <w:proofErr w:type="spellStart"/>
      <w:r w:rsidRPr="00D93946">
        <w:t>Кондинском</w:t>
      </w:r>
      <w:proofErr w:type="spellEnd"/>
      <w:r w:rsidRPr="00D93946">
        <w:t xml:space="preserve"> районе и на юге Ханты-Мансийского района.</w:t>
      </w:r>
    </w:p>
    <w:p w:rsidR="005A079E" w:rsidRPr="00D93946" w:rsidRDefault="005A079E" w:rsidP="0051651A">
      <w:pPr>
        <w:spacing w:after="0" w:line="240" w:lineRule="auto"/>
        <w:ind w:firstLine="567"/>
        <w:jc w:val="both"/>
      </w:pPr>
      <w:r w:rsidRPr="00D93946">
        <w:t>Количество</w:t>
      </w:r>
      <w:r w:rsidR="0051651A" w:rsidRPr="00D93946">
        <w:t xml:space="preserve"> и</w:t>
      </w:r>
      <w:r w:rsidRPr="00D93946">
        <w:t xml:space="preserve"> площадь лесных пожаров</w:t>
      </w:r>
      <w:r w:rsidR="0051651A" w:rsidRPr="00D93946">
        <w:t xml:space="preserve">, продолжительность </w:t>
      </w:r>
      <w:proofErr w:type="spellStart"/>
      <w:r w:rsidR="0051651A" w:rsidRPr="00D93946">
        <w:t>лесопожарного</w:t>
      </w:r>
      <w:proofErr w:type="spellEnd"/>
      <w:r w:rsidR="0051651A" w:rsidRPr="00D93946">
        <w:t xml:space="preserve"> периода</w:t>
      </w:r>
      <w:r w:rsidRPr="00D93946">
        <w:t xml:space="preserve"> значительно меняются от года к году в зависимости от гидрометеорологических условий: температурного режима, распределения осадков, сроков схода снежного покрова, количества зимних осадков, уровней воды в водоемах. </w:t>
      </w:r>
    </w:p>
    <w:p w:rsidR="005A079E" w:rsidRPr="00D93946" w:rsidRDefault="005A079E" w:rsidP="0051651A">
      <w:pPr>
        <w:spacing w:after="0" w:line="240" w:lineRule="auto"/>
        <w:ind w:firstLine="567"/>
        <w:jc w:val="both"/>
      </w:pPr>
      <w:r w:rsidRPr="00D93946">
        <w:t>Среднее распределение лесных пожаров по административным районам автономного</w:t>
      </w:r>
      <w:r w:rsidR="00A65700" w:rsidRPr="00D93946">
        <w:t xml:space="preserve"> округа за период 1993-201</w:t>
      </w:r>
      <w:r w:rsidR="00D93946" w:rsidRPr="00D93946">
        <w:t>9</w:t>
      </w:r>
      <w:r w:rsidRPr="00D93946">
        <w:t xml:space="preserve"> гг. представлено на рисунке 2. </w:t>
      </w:r>
    </w:p>
    <w:p w:rsidR="005A079E" w:rsidRPr="00D93946" w:rsidRDefault="005A079E" w:rsidP="00A84C76">
      <w:pPr>
        <w:spacing w:after="0"/>
        <w:ind w:firstLine="709"/>
        <w:jc w:val="both"/>
      </w:pPr>
    </w:p>
    <w:p w:rsidR="005A079E" w:rsidRPr="00D93946" w:rsidRDefault="00A84C76" w:rsidP="005A079E">
      <w:pPr>
        <w:pStyle w:val="a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9394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507" cy="4041422"/>
            <wp:effectExtent l="19050" t="0" r="2829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4C76" w:rsidRPr="00D93946" w:rsidRDefault="00A84C76" w:rsidP="005A079E">
      <w:pPr>
        <w:pStyle w:val="Default"/>
        <w:jc w:val="center"/>
        <w:rPr>
          <w:sz w:val="22"/>
          <w:szCs w:val="22"/>
        </w:rPr>
      </w:pPr>
    </w:p>
    <w:p w:rsidR="00A84C76" w:rsidRPr="00D93946" w:rsidRDefault="00A84C76" w:rsidP="005A079E">
      <w:pPr>
        <w:pStyle w:val="Default"/>
        <w:jc w:val="center"/>
        <w:rPr>
          <w:sz w:val="22"/>
          <w:szCs w:val="22"/>
        </w:rPr>
      </w:pPr>
    </w:p>
    <w:p w:rsidR="005A079E" w:rsidRPr="00D93946" w:rsidRDefault="005A079E" w:rsidP="005A079E">
      <w:pPr>
        <w:pStyle w:val="Default"/>
        <w:jc w:val="center"/>
        <w:rPr>
          <w:sz w:val="22"/>
          <w:szCs w:val="22"/>
        </w:rPr>
      </w:pPr>
      <w:r w:rsidRPr="00D93946">
        <w:rPr>
          <w:sz w:val="22"/>
          <w:szCs w:val="22"/>
        </w:rPr>
        <w:t>Рис.2. Среднее</w:t>
      </w:r>
      <w:r w:rsidR="00A84C76" w:rsidRPr="00D93946">
        <w:rPr>
          <w:sz w:val="22"/>
          <w:szCs w:val="22"/>
        </w:rPr>
        <w:t xml:space="preserve"> и</w:t>
      </w:r>
      <w:r w:rsidRPr="00D93946">
        <w:rPr>
          <w:sz w:val="22"/>
          <w:szCs w:val="22"/>
        </w:rPr>
        <w:t xml:space="preserve"> максимальное (год) количество лесных пожаров по районам </w:t>
      </w:r>
    </w:p>
    <w:p w:rsidR="005A079E" w:rsidRPr="00D93946" w:rsidRDefault="005A079E" w:rsidP="005A079E">
      <w:pPr>
        <w:pStyle w:val="Default"/>
        <w:jc w:val="center"/>
        <w:rPr>
          <w:sz w:val="22"/>
          <w:szCs w:val="22"/>
        </w:rPr>
      </w:pPr>
    </w:p>
    <w:p w:rsidR="005A079E" w:rsidRPr="00D93946" w:rsidRDefault="005A079E" w:rsidP="0051651A">
      <w:pPr>
        <w:spacing w:line="240" w:lineRule="auto"/>
        <w:ind w:firstLine="567"/>
        <w:jc w:val="both"/>
      </w:pPr>
      <w:r w:rsidRPr="00D93946">
        <w:t xml:space="preserve">По среднемноголетнему количеству лесных пожаров на 1 тысячу кв. км лидирует лесистый Советский район. Больше, чем в среднем по округу, плотность пожаров наблюдается также в </w:t>
      </w:r>
      <w:proofErr w:type="spellStart"/>
      <w:r w:rsidRPr="00D93946">
        <w:t>Кондинском</w:t>
      </w:r>
      <w:proofErr w:type="spellEnd"/>
      <w:r w:rsidRPr="00D93946">
        <w:t xml:space="preserve">, Нефтеюганском, Октябрьском, Ханты-Мансийском  и Нижневартовском районах (рис.3). </w:t>
      </w:r>
    </w:p>
    <w:p w:rsidR="005A079E" w:rsidRPr="00D93946" w:rsidRDefault="005A079E" w:rsidP="005A079E">
      <w:pPr>
        <w:pStyle w:val="a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939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0622" cy="3186895"/>
            <wp:effectExtent l="19050" t="0" r="0" b="0"/>
            <wp:docPr id="8" name="Рисунок 1" descr="1.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952" cy="31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9E" w:rsidRPr="00D93946" w:rsidRDefault="005A079E" w:rsidP="005A079E">
      <w:pPr>
        <w:pStyle w:val="Default"/>
        <w:jc w:val="center"/>
        <w:rPr>
          <w:sz w:val="22"/>
          <w:szCs w:val="22"/>
        </w:rPr>
      </w:pPr>
      <w:r w:rsidRPr="00D93946">
        <w:rPr>
          <w:sz w:val="22"/>
          <w:szCs w:val="22"/>
        </w:rPr>
        <w:t xml:space="preserve">Рис.3. Среднее количество лесных пожаров на 1 тысячу кв. км площади по районам </w:t>
      </w:r>
    </w:p>
    <w:p w:rsidR="005A079E" w:rsidRPr="00D93946" w:rsidRDefault="00A65700" w:rsidP="005A079E">
      <w:pPr>
        <w:pStyle w:val="Default"/>
        <w:jc w:val="center"/>
        <w:rPr>
          <w:sz w:val="22"/>
          <w:szCs w:val="22"/>
        </w:rPr>
      </w:pPr>
      <w:r w:rsidRPr="00D93946">
        <w:rPr>
          <w:sz w:val="22"/>
          <w:szCs w:val="22"/>
        </w:rPr>
        <w:t>за период 1993-201</w:t>
      </w:r>
      <w:r w:rsidR="00D93946" w:rsidRPr="00D93946">
        <w:rPr>
          <w:sz w:val="22"/>
          <w:szCs w:val="22"/>
        </w:rPr>
        <w:t>9</w:t>
      </w:r>
      <w:r w:rsidR="005A079E" w:rsidRPr="00D93946">
        <w:rPr>
          <w:sz w:val="22"/>
          <w:szCs w:val="22"/>
        </w:rPr>
        <w:t xml:space="preserve"> гг.</w:t>
      </w:r>
    </w:p>
    <w:p w:rsidR="005A079E" w:rsidRPr="00D93946" w:rsidRDefault="005A079E" w:rsidP="005A079E">
      <w:pPr>
        <w:pStyle w:val="Default"/>
        <w:jc w:val="center"/>
        <w:rPr>
          <w:sz w:val="22"/>
          <w:szCs w:val="22"/>
        </w:rPr>
      </w:pPr>
    </w:p>
    <w:p w:rsidR="005A079E" w:rsidRPr="00D93946" w:rsidRDefault="005A079E" w:rsidP="0051651A">
      <w:pPr>
        <w:spacing w:after="0" w:line="240" w:lineRule="auto"/>
        <w:ind w:firstLine="567"/>
        <w:jc w:val="both"/>
      </w:pPr>
      <w:r w:rsidRPr="00D93946">
        <w:t xml:space="preserve">Исходя из гидрометеорологических условий </w:t>
      </w:r>
      <w:proofErr w:type="spellStart"/>
      <w:r w:rsidRPr="00D93946">
        <w:t>лесопожарная</w:t>
      </w:r>
      <w:proofErr w:type="spellEnd"/>
      <w:r w:rsidRPr="00D93946">
        <w:t xml:space="preserve"> обстановка может развиваться по благоприятному и неблагоприятному сценариям. </w:t>
      </w:r>
    </w:p>
    <w:p w:rsidR="005A079E" w:rsidRPr="00D93946" w:rsidRDefault="005A079E" w:rsidP="0051651A">
      <w:pPr>
        <w:spacing w:after="0" w:line="240" w:lineRule="auto"/>
        <w:ind w:firstLine="567"/>
        <w:jc w:val="both"/>
      </w:pPr>
      <w:r w:rsidRPr="00D93946">
        <w:rPr>
          <w:i/>
          <w:u w:val="single"/>
        </w:rPr>
        <w:t>Сценарий 1 (благоприятный).</w:t>
      </w:r>
      <w:r w:rsidRPr="00D93946">
        <w:t xml:space="preserve"> В случае многоснежной зимы, нежаркого лета, продолжительного периода затопления речных пойм и высоких уровней воды не прогнозируется превышение среднемноголетних параметров пожарной обстановки. </w:t>
      </w:r>
    </w:p>
    <w:p w:rsidR="005A079E" w:rsidRPr="00D93946" w:rsidRDefault="005A079E" w:rsidP="0051651A">
      <w:pPr>
        <w:spacing w:after="0" w:line="240" w:lineRule="auto"/>
        <w:ind w:firstLine="567"/>
        <w:jc w:val="both"/>
      </w:pPr>
      <w:r w:rsidRPr="00D93946">
        <w:rPr>
          <w:i/>
          <w:u w:val="single"/>
        </w:rPr>
        <w:t>Сценарий 2 (неблагоприятный).</w:t>
      </w:r>
      <w:r w:rsidRPr="00D93946">
        <w:t xml:space="preserve"> При условии раннего весеннего потепления</w:t>
      </w:r>
      <w:r w:rsidR="0051651A" w:rsidRPr="00D93946">
        <w:t>,</w:t>
      </w:r>
      <w:r w:rsidRPr="00D93946">
        <w:t xml:space="preserve"> жаркого сухого лета</w:t>
      </w:r>
      <w:r w:rsidR="0051651A" w:rsidRPr="00D93946">
        <w:t>, а также низких уровней воды</w:t>
      </w:r>
      <w:r w:rsidRPr="00D93946">
        <w:t xml:space="preserve"> вероятен продолжительный и сложный </w:t>
      </w:r>
      <w:proofErr w:type="spellStart"/>
      <w:r w:rsidRPr="00D93946">
        <w:t>лесопожарный</w:t>
      </w:r>
      <w:proofErr w:type="spellEnd"/>
      <w:r w:rsidRPr="00D93946">
        <w:t xml:space="preserve"> период. </w:t>
      </w:r>
    </w:p>
    <w:p w:rsidR="005A079E" w:rsidRPr="00D93946" w:rsidRDefault="005055CA" w:rsidP="0051651A">
      <w:pPr>
        <w:spacing w:after="0" w:line="240" w:lineRule="auto"/>
        <w:ind w:firstLine="567"/>
        <w:jc w:val="both"/>
      </w:pPr>
      <w:r w:rsidRPr="00D93946">
        <w:t>П</w:t>
      </w:r>
      <w:r w:rsidR="005A079E" w:rsidRPr="00D93946">
        <w:t xml:space="preserve">рогноз </w:t>
      </w:r>
      <w:proofErr w:type="spellStart"/>
      <w:r w:rsidR="005A079E" w:rsidRPr="00D93946">
        <w:t>лесопожарной</w:t>
      </w:r>
      <w:proofErr w:type="spellEnd"/>
      <w:r w:rsidR="005A079E" w:rsidRPr="00D93946">
        <w:t xml:space="preserve"> обстановки на сезон будет составлен в конце марта – начале апреля, после оценки количества зимних осадков и получения  прогнозов сроков схода снежного покрова, ожидаемых высших уровней воды на реках, температуры воздуха на вегетационный период.</w:t>
      </w:r>
    </w:p>
    <w:p w:rsidR="005055CA" w:rsidRPr="00D93946" w:rsidRDefault="00D93946" w:rsidP="0051651A">
      <w:pPr>
        <w:spacing w:after="0" w:line="240" w:lineRule="auto"/>
        <w:ind w:firstLine="567"/>
        <w:jc w:val="both"/>
      </w:pPr>
      <w:r w:rsidRPr="00D93946">
        <w:t xml:space="preserve">Высота снега на 20 февраля на территории  ХМАО составила 50-80 см – выше нормы и несколько выше АППГ. </w:t>
      </w:r>
      <w:r w:rsidR="00FB0A93" w:rsidRPr="00D93946">
        <w:t>С</w:t>
      </w:r>
      <w:r w:rsidR="001457FF" w:rsidRPr="00D93946">
        <w:t>умма осадков</w:t>
      </w:r>
      <w:r w:rsidR="00FB0A93" w:rsidRPr="00D93946">
        <w:t xml:space="preserve"> за период </w:t>
      </w:r>
      <w:r w:rsidR="00A9690C" w:rsidRPr="00D93946">
        <w:t xml:space="preserve">с </w:t>
      </w:r>
      <w:r w:rsidR="00FB0A93" w:rsidRPr="00D93946">
        <w:t>ноябр</w:t>
      </w:r>
      <w:r w:rsidR="00A9690C" w:rsidRPr="00D93946">
        <w:t>я 201</w:t>
      </w:r>
      <w:r w:rsidRPr="00D93946">
        <w:t>9</w:t>
      </w:r>
      <w:r w:rsidR="00A9690C" w:rsidRPr="00D93946">
        <w:t xml:space="preserve"> по </w:t>
      </w:r>
      <w:r w:rsidR="002D6312" w:rsidRPr="00D93946">
        <w:t>февраль 20</w:t>
      </w:r>
      <w:r w:rsidRPr="00D93946">
        <w:t>20</w:t>
      </w:r>
      <w:r w:rsidR="00A9690C" w:rsidRPr="00D93946">
        <w:t xml:space="preserve">г. </w:t>
      </w:r>
      <w:r w:rsidR="005055CA" w:rsidRPr="00D93946">
        <w:t xml:space="preserve">составила </w:t>
      </w:r>
      <w:r w:rsidRPr="00D93946">
        <w:t>55</w:t>
      </w:r>
      <w:r w:rsidR="005055CA" w:rsidRPr="00D93946">
        <w:t>-1</w:t>
      </w:r>
      <w:r w:rsidRPr="00D93946">
        <w:t>0</w:t>
      </w:r>
      <w:r w:rsidR="002D6312" w:rsidRPr="00D93946">
        <w:t>5</w:t>
      </w:r>
      <w:r w:rsidR="005055CA" w:rsidRPr="00D93946">
        <w:t xml:space="preserve"> % нормы.</w:t>
      </w:r>
    </w:p>
    <w:p w:rsidR="00CB57F5" w:rsidRPr="00D93946" w:rsidRDefault="00CB57F5" w:rsidP="0051651A">
      <w:pPr>
        <w:spacing w:after="0" w:line="240" w:lineRule="auto"/>
        <w:ind w:firstLine="567"/>
        <w:jc w:val="both"/>
      </w:pPr>
    </w:p>
    <w:p w:rsidR="00CB57F5" w:rsidRPr="00D93946" w:rsidRDefault="00CA7172" w:rsidP="0051651A">
      <w:pPr>
        <w:spacing w:after="0" w:line="240" w:lineRule="auto"/>
        <w:ind w:firstLine="567"/>
        <w:jc w:val="both"/>
      </w:pPr>
      <w:r w:rsidRPr="00D9394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53340</wp:posOffset>
            </wp:positionV>
            <wp:extent cx="1329055" cy="759460"/>
            <wp:effectExtent l="0" t="0" r="0" b="0"/>
            <wp:wrapNone/>
            <wp:docPr id="3" name="Рисунок 1" descr="C:\Users\evv.CSU\Pictures\_8_B_@_2 _235=89 _8_B_@_2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v.CSU\Pictures\_8_B_@_2 _235=89 _8_B_@_28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172" w:rsidRPr="00D93946" w:rsidRDefault="00CA7172" w:rsidP="0051651A">
      <w:pPr>
        <w:spacing w:after="0" w:line="240" w:lineRule="auto"/>
        <w:ind w:firstLine="567"/>
        <w:jc w:val="both"/>
      </w:pPr>
    </w:p>
    <w:p w:rsidR="005055CA" w:rsidRPr="00D93946" w:rsidRDefault="002D6312" w:rsidP="0051651A">
      <w:pPr>
        <w:spacing w:after="0"/>
        <w:jc w:val="both"/>
        <w:rPr>
          <w:szCs w:val="24"/>
        </w:rPr>
      </w:pPr>
      <w:r w:rsidRPr="00D93946">
        <w:rPr>
          <w:szCs w:val="24"/>
        </w:rPr>
        <w:t>Н</w:t>
      </w:r>
      <w:r w:rsidR="00DD3D57" w:rsidRPr="00D93946">
        <w:rPr>
          <w:szCs w:val="24"/>
        </w:rPr>
        <w:t xml:space="preserve">ачальник </w:t>
      </w:r>
      <w:r w:rsidR="00D93946" w:rsidRPr="00D93946">
        <w:rPr>
          <w:szCs w:val="24"/>
        </w:rPr>
        <w:t>центра</w:t>
      </w:r>
      <w:r w:rsidR="00D93946" w:rsidRPr="00D93946">
        <w:rPr>
          <w:szCs w:val="24"/>
        </w:rPr>
        <w:tab/>
      </w:r>
      <w:r w:rsidR="00DD3D57" w:rsidRPr="00D93946">
        <w:rPr>
          <w:szCs w:val="24"/>
        </w:rPr>
        <w:tab/>
      </w:r>
      <w:r w:rsidR="00CA7172" w:rsidRPr="00D93946">
        <w:rPr>
          <w:szCs w:val="24"/>
        </w:rPr>
        <w:tab/>
      </w:r>
      <w:r w:rsidR="00CA7172" w:rsidRPr="00D93946">
        <w:rPr>
          <w:szCs w:val="24"/>
        </w:rPr>
        <w:tab/>
      </w:r>
      <w:r w:rsidR="00CA7172" w:rsidRPr="00D93946">
        <w:rPr>
          <w:szCs w:val="24"/>
        </w:rPr>
        <w:tab/>
      </w:r>
      <w:r w:rsidR="00DD3D57" w:rsidRPr="00D93946">
        <w:rPr>
          <w:szCs w:val="24"/>
        </w:rPr>
        <w:tab/>
      </w:r>
      <w:r w:rsidR="005055CA" w:rsidRPr="00D93946">
        <w:rPr>
          <w:szCs w:val="24"/>
        </w:rPr>
        <w:t xml:space="preserve">                        </w:t>
      </w:r>
      <w:r w:rsidRPr="00D93946">
        <w:rPr>
          <w:szCs w:val="24"/>
        </w:rPr>
        <w:t>Е. В. Викторов</w:t>
      </w:r>
      <w:r w:rsidR="00DD3D57" w:rsidRPr="00D93946">
        <w:rPr>
          <w:szCs w:val="24"/>
        </w:rPr>
        <w:tab/>
      </w:r>
      <w:r w:rsidR="00DD3D57" w:rsidRPr="00D93946">
        <w:rPr>
          <w:szCs w:val="24"/>
        </w:rPr>
        <w:tab/>
      </w:r>
    </w:p>
    <w:p w:rsidR="00CB57F5" w:rsidRPr="00D93946" w:rsidRDefault="00DD3D57" w:rsidP="005055CA">
      <w:pPr>
        <w:jc w:val="both"/>
        <w:rPr>
          <w:szCs w:val="24"/>
        </w:rPr>
      </w:pPr>
      <w:r w:rsidRPr="00D93946">
        <w:rPr>
          <w:szCs w:val="24"/>
        </w:rPr>
        <w:t xml:space="preserve">  </w:t>
      </w:r>
    </w:p>
    <w:p w:rsidR="00CB57F5" w:rsidRPr="00D93946" w:rsidRDefault="00CB57F5" w:rsidP="005055CA">
      <w:pPr>
        <w:jc w:val="both"/>
        <w:rPr>
          <w:szCs w:val="24"/>
        </w:rPr>
      </w:pPr>
    </w:p>
    <w:p w:rsidR="00CB57F5" w:rsidRPr="00D93946" w:rsidRDefault="00CB57F5" w:rsidP="005055CA">
      <w:pPr>
        <w:jc w:val="both"/>
        <w:rPr>
          <w:szCs w:val="24"/>
        </w:rPr>
      </w:pPr>
    </w:p>
    <w:p w:rsidR="00CB57F5" w:rsidRPr="00D93946" w:rsidRDefault="00CB57F5" w:rsidP="005055CA">
      <w:pPr>
        <w:jc w:val="both"/>
        <w:rPr>
          <w:szCs w:val="24"/>
        </w:rPr>
      </w:pPr>
    </w:p>
    <w:p w:rsidR="00CB57F5" w:rsidRPr="00D93946" w:rsidRDefault="00CB57F5" w:rsidP="005055CA">
      <w:pPr>
        <w:jc w:val="both"/>
        <w:rPr>
          <w:szCs w:val="24"/>
        </w:rPr>
      </w:pPr>
    </w:p>
    <w:p w:rsidR="00CB57F5" w:rsidRPr="00D93946" w:rsidRDefault="00CB57F5" w:rsidP="005055CA">
      <w:pPr>
        <w:jc w:val="both"/>
        <w:rPr>
          <w:szCs w:val="24"/>
        </w:rPr>
      </w:pPr>
    </w:p>
    <w:p w:rsidR="00CB57F5" w:rsidRPr="00D93946" w:rsidRDefault="00CB57F5" w:rsidP="005055CA">
      <w:pPr>
        <w:jc w:val="both"/>
        <w:rPr>
          <w:szCs w:val="24"/>
        </w:rPr>
      </w:pPr>
    </w:p>
    <w:p w:rsidR="00DD3D57" w:rsidRPr="00D93946" w:rsidRDefault="00DD3D57" w:rsidP="005055CA">
      <w:pPr>
        <w:jc w:val="both"/>
        <w:rPr>
          <w:szCs w:val="24"/>
        </w:rPr>
      </w:pPr>
      <w:r w:rsidRPr="00D93946">
        <w:rPr>
          <w:szCs w:val="24"/>
        </w:rPr>
        <w:tab/>
      </w:r>
      <w:r w:rsidRPr="00D93946">
        <w:rPr>
          <w:szCs w:val="24"/>
        </w:rPr>
        <w:tab/>
      </w:r>
    </w:p>
    <w:p w:rsidR="00CA7172" w:rsidRPr="00D93946" w:rsidRDefault="00CA7172" w:rsidP="005055CA">
      <w:pPr>
        <w:jc w:val="both"/>
        <w:rPr>
          <w:szCs w:val="24"/>
        </w:rPr>
      </w:pPr>
    </w:p>
    <w:p w:rsidR="00CA7172" w:rsidRPr="00D93946" w:rsidRDefault="00CA7172" w:rsidP="005055CA">
      <w:pPr>
        <w:jc w:val="both"/>
        <w:rPr>
          <w:szCs w:val="24"/>
        </w:rPr>
      </w:pPr>
    </w:p>
    <w:p w:rsidR="00D93946" w:rsidRPr="00D93946" w:rsidRDefault="00D93946" w:rsidP="00D93946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93946">
        <w:rPr>
          <w:rFonts w:eastAsia="Times New Roman"/>
          <w:kern w:val="0"/>
          <w:sz w:val="20"/>
          <w:szCs w:val="20"/>
          <w:lang w:eastAsia="ru-RU"/>
        </w:rPr>
        <w:t>отдел анализа и</w:t>
      </w:r>
    </w:p>
    <w:p w:rsidR="00D93946" w:rsidRPr="00D93946" w:rsidRDefault="00D93946" w:rsidP="00D93946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u w:val="single"/>
          <w:lang w:eastAsia="ru-RU"/>
        </w:rPr>
      </w:pPr>
      <w:r w:rsidRPr="00D93946">
        <w:rPr>
          <w:rFonts w:eastAsia="Times New Roman"/>
          <w:kern w:val="0"/>
          <w:sz w:val="20"/>
          <w:szCs w:val="20"/>
          <w:lang w:eastAsia="ru-RU"/>
        </w:rPr>
        <w:t>долгосрочного прогнозирования,</w:t>
      </w:r>
    </w:p>
    <w:p w:rsidR="00D93946" w:rsidRPr="00D93946" w:rsidRDefault="00D93946" w:rsidP="00D93946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val="en-US" w:eastAsia="ru-RU"/>
        </w:rPr>
      </w:pPr>
      <w:r w:rsidRPr="00D93946">
        <w:rPr>
          <w:rFonts w:eastAsia="Times New Roman"/>
          <w:kern w:val="0"/>
          <w:sz w:val="20"/>
          <w:szCs w:val="20"/>
          <w:lang w:eastAsia="ru-RU"/>
        </w:rPr>
        <w:t>тел</w:t>
      </w:r>
      <w:r w:rsidRPr="00D93946">
        <w:rPr>
          <w:rFonts w:eastAsia="Times New Roman"/>
          <w:kern w:val="0"/>
          <w:sz w:val="20"/>
          <w:szCs w:val="20"/>
          <w:lang w:val="en-US" w:eastAsia="ru-RU"/>
        </w:rPr>
        <w:t>. 8 (3467) 300-629</w:t>
      </w:r>
    </w:p>
    <w:p w:rsidR="00D93946" w:rsidRPr="00D93946" w:rsidRDefault="00D93946" w:rsidP="00D93946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val="en-US" w:eastAsia="ru-RU"/>
        </w:rPr>
      </w:pPr>
      <w:r w:rsidRPr="00D93946">
        <w:rPr>
          <w:rFonts w:eastAsia="Times New Roman"/>
          <w:kern w:val="0"/>
          <w:sz w:val="20"/>
          <w:szCs w:val="20"/>
          <w:lang w:val="de-DE" w:eastAsia="ru-RU"/>
        </w:rPr>
        <w:t>e</w:t>
      </w:r>
      <w:r w:rsidRPr="00D93946">
        <w:rPr>
          <w:rFonts w:eastAsia="Times New Roman"/>
          <w:kern w:val="0"/>
          <w:sz w:val="20"/>
          <w:szCs w:val="20"/>
          <w:lang w:val="en-US" w:eastAsia="ru-RU"/>
        </w:rPr>
        <w:t>-</w:t>
      </w:r>
      <w:proofErr w:type="spellStart"/>
      <w:r w:rsidRPr="00D93946">
        <w:rPr>
          <w:rFonts w:eastAsia="Times New Roman"/>
          <w:kern w:val="0"/>
          <w:sz w:val="20"/>
          <w:szCs w:val="20"/>
          <w:lang w:val="de-DE" w:eastAsia="ru-RU"/>
        </w:rPr>
        <w:t>mail</w:t>
      </w:r>
      <w:proofErr w:type="spellEnd"/>
      <w:r w:rsidRPr="00D93946">
        <w:rPr>
          <w:rFonts w:eastAsia="Times New Roman"/>
          <w:kern w:val="0"/>
          <w:sz w:val="20"/>
          <w:szCs w:val="20"/>
          <w:lang w:val="en-US" w:eastAsia="ru-RU"/>
        </w:rPr>
        <w:t>: cov</w:t>
      </w:r>
      <w:hyperlink r:id="rId9" w:history="1">
        <w:r w:rsidRPr="00D93946">
          <w:rPr>
            <w:rFonts w:eastAsia="Times New Roman"/>
            <w:kern w:val="0"/>
            <w:sz w:val="20"/>
            <w:szCs w:val="20"/>
            <w:lang w:val="en-US" w:eastAsia="ru-RU"/>
          </w:rPr>
          <w:t>risk@admhmao.ru</w:t>
        </w:r>
      </w:hyperlink>
    </w:p>
    <w:p w:rsidR="00D93946" w:rsidRPr="00D93946" w:rsidRDefault="00D93946" w:rsidP="00D93946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val="en-US" w:eastAsia="ru-RU"/>
        </w:rPr>
      </w:pPr>
      <w:r w:rsidRPr="00D93946">
        <w:rPr>
          <w:rFonts w:eastAsia="Times New Roman"/>
          <w:kern w:val="0"/>
          <w:sz w:val="20"/>
          <w:szCs w:val="20"/>
          <w:lang w:val="en-US" w:eastAsia="ru-RU"/>
        </w:rPr>
        <w:t>http://risk.admhmao.ru</w:t>
      </w:r>
    </w:p>
    <w:sectPr w:rsidR="00D93946" w:rsidRPr="00D93946" w:rsidSect="00401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985"/>
    <w:multiLevelType w:val="hybridMultilevel"/>
    <w:tmpl w:val="B066BA8E"/>
    <w:lvl w:ilvl="0" w:tplc="44C25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84835"/>
    <w:multiLevelType w:val="hybridMultilevel"/>
    <w:tmpl w:val="D2F45402"/>
    <w:lvl w:ilvl="0" w:tplc="041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42904673"/>
    <w:multiLevelType w:val="hybridMultilevel"/>
    <w:tmpl w:val="2BC6A690"/>
    <w:lvl w:ilvl="0" w:tplc="377602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A446B2"/>
    <w:rsid w:val="00001FA8"/>
    <w:rsid w:val="000374D9"/>
    <w:rsid w:val="000466A4"/>
    <w:rsid w:val="001457FF"/>
    <w:rsid w:val="00156A06"/>
    <w:rsid w:val="0015775A"/>
    <w:rsid w:val="001C11B9"/>
    <w:rsid w:val="001C497D"/>
    <w:rsid w:val="002A7C1B"/>
    <w:rsid w:val="002D6312"/>
    <w:rsid w:val="00306196"/>
    <w:rsid w:val="003215C8"/>
    <w:rsid w:val="00326B39"/>
    <w:rsid w:val="003506CC"/>
    <w:rsid w:val="003643D3"/>
    <w:rsid w:val="003746CE"/>
    <w:rsid w:val="00401E97"/>
    <w:rsid w:val="004A3FAB"/>
    <w:rsid w:val="004B78A3"/>
    <w:rsid w:val="005055CA"/>
    <w:rsid w:val="0051651A"/>
    <w:rsid w:val="00535FA7"/>
    <w:rsid w:val="00537E0B"/>
    <w:rsid w:val="0058713A"/>
    <w:rsid w:val="005A079E"/>
    <w:rsid w:val="005A1C29"/>
    <w:rsid w:val="00646354"/>
    <w:rsid w:val="0069198E"/>
    <w:rsid w:val="006A12E1"/>
    <w:rsid w:val="006B210D"/>
    <w:rsid w:val="006B6D2A"/>
    <w:rsid w:val="00701FBD"/>
    <w:rsid w:val="00736ADC"/>
    <w:rsid w:val="007A6B6C"/>
    <w:rsid w:val="007C3528"/>
    <w:rsid w:val="00803476"/>
    <w:rsid w:val="008B4CAC"/>
    <w:rsid w:val="00931DDA"/>
    <w:rsid w:val="00956E7C"/>
    <w:rsid w:val="00A446B2"/>
    <w:rsid w:val="00A53247"/>
    <w:rsid w:val="00A65700"/>
    <w:rsid w:val="00A84C76"/>
    <w:rsid w:val="00A9690C"/>
    <w:rsid w:val="00AE465A"/>
    <w:rsid w:val="00B36DE6"/>
    <w:rsid w:val="00B41DEA"/>
    <w:rsid w:val="00B54D49"/>
    <w:rsid w:val="00B67AC6"/>
    <w:rsid w:val="00C01B27"/>
    <w:rsid w:val="00C626C6"/>
    <w:rsid w:val="00C76493"/>
    <w:rsid w:val="00CA2743"/>
    <w:rsid w:val="00CA7172"/>
    <w:rsid w:val="00CB57F5"/>
    <w:rsid w:val="00CB6AF1"/>
    <w:rsid w:val="00CC3671"/>
    <w:rsid w:val="00D62E34"/>
    <w:rsid w:val="00D865D9"/>
    <w:rsid w:val="00D914B2"/>
    <w:rsid w:val="00D93946"/>
    <w:rsid w:val="00DD3D57"/>
    <w:rsid w:val="00DF4716"/>
    <w:rsid w:val="00E13D85"/>
    <w:rsid w:val="00E54A48"/>
    <w:rsid w:val="00F16205"/>
    <w:rsid w:val="00F6451A"/>
    <w:rsid w:val="00F70E9A"/>
    <w:rsid w:val="00F8192C"/>
    <w:rsid w:val="00FA0F1F"/>
    <w:rsid w:val="00F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2"/>
    <w:pPr>
      <w:suppressAutoHyphens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6B2"/>
    <w:pPr>
      <w:ind w:left="720"/>
      <w:contextualSpacing/>
    </w:pPr>
  </w:style>
  <w:style w:type="table" w:styleId="a6">
    <w:name w:val="Table Grid"/>
    <w:basedOn w:val="a1"/>
    <w:uiPriority w:val="59"/>
    <w:rsid w:val="00A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07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A0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DD3D57"/>
    <w:pPr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D3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DD3D57"/>
    <w:rPr>
      <w:color w:val="034093"/>
      <w:u w:val="single"/>
    </w:rPr>
  </w:style>
  <w:style w:type="paragraph" w:styleId="a9">
    <w:name w:val="Normal (Web)"/>
    <w:basedOn w:val="a"/>
    <w:uiPriority w:val="99"/>
    <w:rsid w:val="00DD3D57"/>
    <w:pPr>
      <w:suppressAutoHyphens w:val="0"/>
      <w:spacing w:after="0" w:line="240" w:lineRule="auto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noz@as-ugra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.1.28\&#1091;&#1087;&#1088;&#1072;&#1074;&#1083;&#1077;&#1085;&#1080;&#1077;%20&#1080;&#1088;%20&#1080;%20&#1084;&#1073;&#1078;\.&#1054;&#1090;&#1076;&#1077;&#1083;%20&#1089;&#1090;&#1072;&#1090;&#1080;&#1089;&#1090;&#1080;&#1082;&#1080;,&#1072;&#1085;&#1072;&#1083;&#1080;&#1079;&#1072;%20&#1080;%20&#1044;&#1055;\&#1058;&#1088;&#1103;&#1089;&#1094;&#1099;&#1085;%20&#1042;.&#1043;\&#1058;&#1088;&#1103;&#1089;&#1094;&#1099;&#1085;\&#1083;&#1077;&#1089;&#1085;&#1099;&#1077;%20&#1087;&#1086;&#1078;&#1072;&#1088;&#1099;&#1061;&#1052;&#1040;&#1054;\&#1057;&#1090;&#1072;&#1090;&#1080;&#1089;&#1090;&#1080;&#1082;&#1072;%20&#1051;&#1055;\&#1076;&#1083;&#1103;%20&#1075;&#1086;&#1089;&#1076;&#1086;&#1082;&#1083;&#1072;&#1076;&#1072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0.1.28\&#1091;&#1087;&#1088;&#1072;&#1074;&#1083;&#1077;&#1085;&#1080;&#1077;%20&#1080;&#1088;%20&#1080;%20&#1084;&#1073;&#1078;\.&#1054;&#1090;&#1076;&#1077;&#1083;%20&#1089;&#1090;&#1072;&#1090;&#1080;&#1089;&#1090;&#1080;&#1082;&#1080;,&#1072;&#1085;&#1072;&#1083;&#1080;&#1079;&#1072;%20&#1080;%20&#1044;&#1055;\&#1058;&#1088;&#1103;&#1089;&#1094;&#1099;&#1085;%20&#1042;.&#1043;\&#1058;&#1088;&#1103;&#1089;&#1094;&#1099;&#1085;\&#1083;&#1077;&#1089;&#1085;&#1099;&#1077;%20&#1087;&#1086;&#1078;&#1072;&#1088;&#1099;&#1061;&#1052;&#1040;&#1054;\&#1057;&#1090;&#1072;&#1090;&#1080;&#1089;&#1090;&#1080;&#1082;&#1072;%20&#1051;&#1055;\&#1076;&#1083;&#1103;%20&#1075;&#1086;&#1089;&#1076;&#1086;&#1082;&#1083;&#1072;&#1076;&#1072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80307339631507E-2"/>
          <c:y val="5.1400554097404488E-2"/>
          <c:w val="0.89351468261589284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максимальное </c:v>
                </c:pt>
              </c:strCache>
            </c:strRef>
          </c:tx>
          <c:cat>
            <c:strRef>
              <c:f>Лист1!$B$8:$G$8</c:f>
              <c:strCache>
                <c:ptCount val="6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</c:strCache>
            </c: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19</c:v>
                </c:pt>
                <c:pt idx="1">
                  <c:v>292</c:v>
                </c:pt>
                <c:pt idx="2">
                  <c:v>571</c:v>
                </c:pt>
                <c:pt idx="3">
                  <c:v>647</c:v>
                </c:pt>
                <c:pt idx="4">
                  <c:v>386</c:v>
                </c:pt>
                <c:pt idx="5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среднее </c:v>
                </c:pt>
              </c:strCache>
            </c:strRef>
          </c:tx>
          <c:cat>
            <c:strRef>
              <c:f>Лист1!$B$8:$G$8</c:f>
              <c:strCache>
                <c:ptCount val="6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</c:strCache>
            </c: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1.7000000000000004</c:v>
                </c:pt>
                <c:pt idx="1">
                  <c:v>65</c:v>
                </c:pt>
                <c:pt idx="2">
                  <c:v>122</c:v>
                </c:pt>
                <c:pt idx="3">
                  <c:v>210</c:v>
                </c:pt>
                <c:pt idx="4">
                  <c:v>109</c:v>
                </c:pt>
                <c:pt idx="5">
                  <c:v>13</c:v>
                </c:pt>
              </c:numCache>
            </c:numRef>
          </c:val>
        </c:ser>
        <c:axId val="69152128"/>
        <c:axId val="69200128"/>
      </c:barChart>
      <c:catAx>
        <c:axId val="69152128"/>
        <c:scaling>
          <c:orientation val="minMax"/>
        </c:scaling>
        <c:axPos val="b"/>
        <c:tickLblPos val="nextTo"/>
        <c:crossAx val="69200128"/>
        <c:crosses val="autoZero"/>
        <c:auto val="1"/>
        <c:lblAlgn val="ctr"/>
        <c:lblOffset val="100"/>
      </c:catAx>
      <c:valAx>
        <c:axId val="69200128"/>
        <c:scaling>
          <c:orientation val="minMax"/>
        </c:scaling>
        <c:axPos val="l"/>
        <c:majorGridlines/>
        <c:numFmt formatCode="General" sourceLinked="1"/>
        <c:tickLblPos val="nextTo"/>
        <c:crossAx val="6915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3920089257137"/>
          <c:y val="0.11979440069991269"/>
          <c:w val="0.16673035335956124"/>
          <c:h val="0.25115157480314959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934878848298725E-2"/>
          <c:y val="5.1400588007894363E-2"/>
          <c:w val="0.86760826771653565"/>
          <c:h val="0.66393339640684579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максимальное</c:v>
                </c:pt>
              </c:strCache>
            </c:strRef>
          </c:tx>
          <c:cat>
            <c:strRef>
              <c:f>Лист2!$A$3:$A$11</c:f>
              <c:strCache>
                <c:ptCount val="9"/>
                <c:pt idx="0">
                  <c:v>Березовский -ср. 36</c:v>
                </c:pt>
                <c:pt idx="1">
                  <c:v>Белоярский-ср.30</c:v>
                </c:pt>
                <c:pt idx="2">
                  <c:v>Октябрьский-ср.31</c:v>
                </c:pt>
                <c:pt idx="3">
                  <c:v>Советский-ср.64</c:v>
                </c:pt>
                <c:pt idx="4">
                  <c:v>Кондинский-ср.86</c:v>
                </c:pt>
                <c:pt idx="5">
                  <c:v>Х-Мансийский-ср.49</c:v>
                </c:pt>
                <c:pt idx="6">
                  <c:v>Нефтеюганский-ср.30</c:v>
                </c:pt>
                <c:pt idx="7">
                  <c:v>Сургутский-ср.59</c:v>
                </c:pt>
                <c:pt idx="8">
                  <c:v>Нижневартовск.-ср.114</c:v>
                </c:pt>
              </c:strCache>
            </c:strRef>
          </c:cat>
          <c:val>
            <c:numRef>
              <c:f>Лист2!$B$3:$B$11</c:f>
              <c:numCache>
                <c:formatCode>General</c:formatCode>
                <c:ptCount val="9"/>
                <c:pt idx="0">
                  <c:v>96</c:v>
                </c:pt>
                <c:pt idx="1">
                  <c:v>95</c:v>
                </c:pt>
                <c:pt idx="2">
                  <c:v>85</c:v>
                </c:pt>
                <c:pt idx="3">
                  <c:v>142</c:v>
                </c:pt>
                <c:pt idx="4">
                  <c:v>296</c:v>
                </c:pt>
                <c:pt idx="5">
                  <c:v>207</c:v>
                </c:pt>
                <c:pt idx="6">
                  <c:v>129</c:v>
                </c:pt>
                <c:pt idx="7">
                  <c:v>218</c:v>
                </c:pt>
                <c:pt idx="8">
                  <c:v>524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Лист2!$A$3:$A$11</c:f>
              <c:strCache>
                <c:ptCount val="9"/>
                <c:pt idx="0">
                  <c:v>Березовский -ср. 36</c:v>
                </c:pt>
                <c:pt idx="1">
                  <c:v>Белоярский-ср.30</c:v>
                </c:pt>
                <c:pt idx="2">
                  <c:v>Октябрьский-ср.31</c:v>
                </c:pt>
                <c:pt idx="3">
                  <c:v>Советский-ср.64</c:v>
                </c:pt>
                <c:pt idx="4">
                  <c:v>Кондинский-ср.86</c:v>
                </c:pt>
                <c:pt idx="5">
                  <c:v>Х-Мансийский-ср.49</c:v>
                </c:pt>
                <c:pt idx="6">
                  <c:v>Нефтеюганский-ср.30</c:v>
                </c:pt>
                <c:pt idx="7">
                  <c:v>Сургутский-ср.59</c:v>
                </c:pt>
                <c:pt idx="8">
                  <c:v>Нижневартовск.-ср.114</c:v>
                </c:pt>
              </c:strCache>
            </c:strRef>
          </c:cat>
          <c:val>
            <c:numRef>
              <c:f>Лист2!$C$3:$C$11</c:f>
              <c:numCache>
                <c:formatCode>0.0</c:formatCode>
                <c:ptCount val="9"/>
                <c:pt idx="0">
                  <c:v>36</c:v>
                </c:pt>
                <c:pt idx="1">
                  <c:v>30</c:v>
                </c:pt>
                <c:pt idx="2">
                  <c:v>31</c:v>
                </c:pt>
                <c:pt idx="3">
                  <c:v>64</c:v>
                </c:pt>
                <c:pt idx="4">
                  <c:v>86</c:v>
                </c:pt>
                <c:pt idx="5">
                  <c:v>49</c:v>
                </c:pt>
                <c:pt idx="6">
                  <c:v>30</c:v>
                </c:pt>
                <c:pt idx="7">
                  <c:v>59</c:v>
                </c:pt>
                <c:pt idx="8">
                  <c:v>114</c:v>
                </c:pt>
              </c:numCache>
            </c:numRef>
          </c:val>
        </c:ser>
        <c:axId val="93943680"/>
        <c:axId val="93945216"/>
      </c:barChart>
      <c:catAx>
        <c:axId val="93943680"/>
        <c:scaling>
          <c:orientation val="minMax"/>
        </c:scaling>
        <c:axPos val="b"/>
        <c:tickLblPos val="nextTo"/>
        <c:crossAx val="93945216"/>
        <c:crosses val="autoZero"/>
        <c:auto val="1"/>
        <c:lblAlgn val="ctr"/>
        <c:lblOffset val="100"/>
      </c:catAx>
      <c:valAx>
        <c:axId val="93945216"/>
        <c:scaling>
          <c:orientation val="minMax"/>
        </c:scaling>
        <c:axPos val="l"/>
        <c:majorGridlines/>
        <c:numFmt formatCode="General" sourceLinked="1"/>
        <c:tickLblPos val="nextTo"/>
        <c:crossAx val="93943680"/>
        <c:crosses val="autoZero"/>
        <c:crossBetween val="between"/>
      </c:valAx>
      <c:spPr>
        <a:solidFill>
          <a:srgbClr val="9BBB59">
            <a:lumMod val="40000"/>
            <a:lumOff val="60000"/>
          </a:srgbClr>
        </a:solidFill>
      </c:spPr>
    </c:plotArea>
    <c:legend>
      <c:legendPos val="r"/>
      <c:layout>
        <c:manualLayout>
          <c:xMode val="edge"/>
          <c:yMode val="edge"/>
          <c:x val="0.19787642169728786"/>
          <c:y val="6.8868474773986735E-2"/>
          <c:w val="0.18891693843727478"/>
          <c:h val="0.17522202893243025"/>
        </c:manualLayout>
      </c:layout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0.05504</cdr:x>
      <cdr:y>0.04722</cdr:y>
    </cdr:from>
    <cdr:to>
      <cdr:x>0.17965</cdr:x>
      <cdr:y>0.38056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3860" y="1295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количество </a:t>
          </a:r>
        </a:p>
        <a:p xmlns:a="http://schemas.openxmlformats.org/drawingml/2006/main">
          <a:r>
            <a:rPr lang="ru-RU" sz="1100" b="1"/>
            <a:t>лесных пожаров</a:t>
          </a:r>
        </a:p>
      </cdr:txBody>
    </cdr:sp>
  </cdr:relSizeAnchor>
  <cdr:relSizeAnchor xmlns:cdr="http://schemas.openxmlformats.org/drawingml/2006/chartDrawing">
    <cdr:from>
      <cdr:x>0.081</cdr:x>
      <cdr:y>0.73056</cdr:y>
    </cdr:from>
    <cdr:to>
      <cdr:x>0.20561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94360" y="2004060"/>
          <a:ext cx="914400" cy="73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0.0758</cdr:x>
      <cdr:y>0.66667</cdr:y>
    </cdr:from>
    <cdr:to>
      <cdr:x>0.20042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6260" y="22326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1995 г.</a:t>
          </a:r>
        </a:p>
      </cdr:txBody>
    </cdr:sp>
  </cdr:relSizeAnchor>
  <cdr:relSizeAnchor xmlns:cdr="http://schemas.openxmlformats.org/drawingml/2006/chartDrawing">
    <cdr:from>
      <cdr:x>0.2108</cdr:x>
      <cdr:y>0.40833</cdr:y>
    </cdr:from>
    <cdr:to>
      <cdr:x>0.35618</cdr:x>
      <cdr:y>0.75278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46860" y="1120140"/>
          <a:ext cx="1066800" cy="944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0.18795</cdr:x>
      <cdr:y>0.46944</cdr:y>
    </cdr:from>
    <cdr:to>
      <cdr:x>0.31256</cdr:x>
      <cdr:y>0.80278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79220" y="128778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     2011 </a:t>
          </a:r>
          <a:r>
            <a:rPr lang="ru-RU" sz="1100"/>
            <a:t>г.</a:t>
          </a:r>
        </a:p>
      </cdr:txBody>
    </cdr:sp>
  </cdr:relSizeAnchor>
  <cdr:relSizeAnchor xmlns:cdr="http://schemas.openxmlformats.org/drawingml/2006/chartDrawing">
    <cdr:from>
      <cdr:x>0.35514</cdr:x>
      <cdr:y>0.18333</cdr:y>
    </cdr:from>
    <cdr:to>
      <cdr:x>0.47975</cdr:x>
      <cdr:y>0.51667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06040" y="5029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0.36345</cdr:x>
      <cdr:y>0.13889</cdr:y>
    </cdr:from>
    <cdr:to>
      <cdr:x>0.48806</cdr:x>
      <cdr:y>0.47222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667000" y="381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2012г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0.5244</cdr:x>
      <cdr:y>0.04167</cdr:y>
    </cdr:from>
    <cdr:to>
      <cdr:x>0.64901</cdr:x>
      <cdr:y>0.375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848100" y="114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2012г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0.67497</cdr:x>
      <cdr:y>0.36111</cdr:y>
    </cdr:from>
    <cdr:to>
      <cdr:x>0.79958</cdr:x>
      <cdr:y>0.69444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953000" y="990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2003г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0.81308</cdr:x>
      <cdr:y>0.66667</cdr:y>
    </cdr:from>
    <cdr:to>
      <cdr:x>0.93769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966460" y="197358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2006г</a:t>
          </a:r>
          <a:r>
            <a:rPr lang="ru-RU" sz="1100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0.10515</cdr:x>
      <cdr:y>0.55814</cdr:y>
    </cdr:from>
    <cdr:to>
      <cdr:x>0.23391</cdr:x>
      <cdr:y>0.7907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6760" y="21945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0.19421</cdr:x>
      <cdr:y>0.5562</cdr:y>
    </cdr:from>
    <cdr:to>
      <cdr:x>0.32296</cdr:x>
      <cdr:y>0.78876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79220" y="21869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2017г.</a:t>
          </a:r>
        </a:p>
      </cdr:txBody>
    </cdr:sp>
  </cdr:relSizeAnchor>
  <cdr:relSizeAnchor xmlns:cdr="http://schemas.openxmlformats.org/drawingml/2006/chartDrawing">
    <cdr:from>
      <cdr:x>0.28863</cdr:x>
      <cdr:y>0.56589</cdr:y>
    </cdr:from>
    <cdr:to>
      <cdr:x>0.41738</cdr:x>
      <cdr:y>0.79845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49780" y="22250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2005г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0.39378</cdr:x>
      <cdr:y>0.51163</cdr:y>
    </cdr:from>
    <cdr:to>
      <cdr:x>0.52253</cdr:x>
      <cdr:y>0.74419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796540" y="201168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2010г.</a:t>
          </a:r>
        </a:p>
      </cdr:txBody>
    </cdr:sp>
  </cdr:relSizeAnchor>
  <cdr:relSizeAnchor xmlns:cdr="http://schemas.openxmlformats.org/drawingml/2006/chartDrawing">
    <cdr:from>
      <cdr:x>0.48391</cdr:x>
      <cdr:y>0.33333</cdr:y>
    </cdr:from>
    <cdr:to>
      <cdr:x>0.61266</cdr:x>
      <cdr:y>0.56589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436620" y="13106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2012г</a:t>
          </a:r>
        </a:p>
      </cdr:txBody>
    </cdr:sp>
  </cdr:relSizeAnchor>
  <cdr:relSizeAnchor xmlns:cdr="http://schemas.openxmlformats.org/drawingml/2006/chartDrawing">
    <cdr:from>
      <cdr:x>0.57403</cdr:x>
      <cdr:y>0.43992</cdr:y>
    </cdr:from>
    <cdr:to>
      <cdr:x>0.70279</cdr:x>
      <cdr:y>0.67248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076700" y="17297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2012г.</a:t>
          </a:r>
        </a:p>
      </cdr:txBody>
    </cdr:sp>
  </cdr:relSizeAnchor>
  <cdr:relSizeAnchor xmlns:cdr="http://schemas.openxmlformats.org/drawingml/2006/chartDrawing">
    <cdr:from>
      <cdr:x>0.67704</cdr:x>
      <cdr:y>0.51744</cdr:y>
    </cdr:from>
    <cdr:to>
      <cdr:x>0.80579</cdr:x>
      <cdr:y>0.75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808220" y="20345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2004г.</a:t>
          </a:r>
        </a:p>
      </cdr:txBody>
    </cdr:sp>
  </cdr:relSizeAnchor>
  <cdr:relSizeAnchor xmlns:cdr="http://schemas.openxmlformats.org/drawingml/2006/chartDrawing">
    <cdr:from>
      <cdr:x>0.76395</cdr:x>
      <cdr:y>0.43023</cdr:y>
    </cdr:from>
    <cdr:to>
      <cdr:x>0.8927</cdr:x>
      <cdr:y>0.66279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425440" y="16916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2012г.</a:t>
          </a:r>
        </a:p>
      </cdr:txBody>
    </cdr:sp>
  </cdr:relSizeAnchor>
  <cdr:relSizeAnchor xmlns:cdr="http://schemas.openxmlformats.org/drawingml/2006/chartDrawing">
    <cdr:from>
      <cdr:x>0.8573</cdr:x>
      <cdr:y>0.08333</cdr:y>
    </cdr:from>
    <cdr:to>
      <cdr:x>0.98605</cdr:x>
      <cdr:y>0.31589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6088380" y="3276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0070C0"/>
              </a:solidFill>
            </a:rPr>
            <a:t>2012г</a:t>
          </a:r>
          <a:r>
            <a:rPr lang="ru-RU" sz="1100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tvg</dc:creator>
  <cp:keywords/>
  <dc:description/>
  <cp:lastModifiedBy>Викторов(а)</cp:lastModifiedBy>
  <cp:revision>23</cp:revision>
  <cp:lastPrinted>2019-02-21T10:51:00Z</cp:lastPrinted>
  <dcterms:created xsi:type="dcterms:W3CDTF">2017-03-23T10:56:00Z</dcterms:created>
  <dcterms:modified xsi:type="dcterms:W3CDTF">2020-02-24T10:26:00Z</dcterms:modified>
</cp:coreProperties>
</file>